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台灣明體.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Bdr>
          <w:bottom w:val="single" w:sz="6" w:space="1" w:color="CCCCCC"/>
        </w:pBdr>
      </w:pPr>
    </w:p>
    <w:p>
      <w:pPr>
        <w:pStyle w:val="Heading2"/>
      </w:pPr>
      <w:r>
        <w:rPr>
          <w:rFonts w:ascii="台灣明體" w:hAnsi="台灣明體" w:eastAsia="台灣明體"/>
          <w:b/>
          <w:sz w:val="30"/>
        </w:rPr>
        <w:t>layout: default</w:t>
      </w:r>
    </w:p>
    <w:p>
      <w:r>
        <w:rPr>
          <w:rFonts w:ascii="台灣明體" w:hAnsi="台灣明體" w:eastAsia="台灣明體"/>
          <w:b w:val="0"/>
          <w:sz w:val="26"/>
        </w:rPr>
        <w:br/>
        <w:t xml:space="preserve">    body {</w:t>
        <w:br/>
        <w:br/>
        <w:t xml:space="preserve">    }</w:t>
        <w:br/>
        <w:t xml:space="preserve">    p.big {</w:t>
        <w:br/>
        <w:t xml:space="preserve">      line-height: 3;</w:t>
        <w:br/>
        <w:t xml:space="preserve">      font-size: x-large;</w:t>
        <w:br/>
        <w:t xml:space="preserve">    }</w:t>
        <w:br/>
        <w:t xml:space="preserve">    p {</w:t>
        <w:br/>
        <w:t xml:space="preserve">      font-size: 1.5em;</w:t>
        <w:br/>
        <w:t xml:space="preserve">    }</w:t>
        <w:br/>
        <w:t xml:space="preserve">    </w:t>
      </w:r>
    </w:p>
    <w:p>
      <w:pPr>
        <w:pStyle w:val="Heading1"/>
      </w:pPr>
      <w:r>
        <w:rPr>
          <w:rFonts w:ascii="台灣明體" w:hAnsi="台灣明體" w:eastAsia="台灣明體"/>
          <w:b/>
          <w:sz w:val="34"/>
        </w:rPr>
        <w:t>Передмова: про класичну китайську мову та інше</w:t>
      </w:r>
    </w:p>
    <w:p>
      <w:r>
        <w:rPr>
          <w:rFonts w:ascii="台灣明體" w:hAnsi="台灣明體" w:eastAsia="台灣明體"/>
          <w:b w:val="0"/>
          <w:sz w:val="26"/>
        </w:rPr>
        <w:t>Класична китайська мова (文言文 чи 古文) — мова, що існувала в Китаї близько 1000-700 до н. е., та мова якою було записано найбільш важливі пам'ятки літератури того часу. Таким чином, класична китайська мова функціонувала як lingua franka того часу. Класична китайська мова відрізняється від сучасних китайських мов, проте використовувані іерогліфи більшою часткою одні й ті самі, синтаксис і морфологія також схожі. Сьогодні, користувач китайської мови (чи однієї з китайських мов), навіть якщо у нього/неї немає спеціалізованої освіти, зможе зрозуміти близько 70% змісту короткого тексту написаного класичною мовою, через те, що іерогліфи зберігають своє значення.</w:t>
      </w:r>
    </w:p>
    <w:p>
      <w:r>
        <w:rPr>
          <w:rFonts w:ascii="台灣明體" w:hAnsi="台灣明體" w:eastAsia="台灣明體"/>
          <w:b w:val="0"/>
          <w:sz w:val="26"/>
        </w:rPr>
        <w:t>До середини 19 століття класична китайська мова відігравала роль подібну до латини у Західній Європі (але була більш розповсюдженою).</w:t>
      </w:r>
    </w:p>
    <w:p>
      <w:r>
        <w:rPr>
          <w:rFonts w:ascii="台灣明體" w:hAnsi="台灣明體" w:eastAsia="台灣明體"/>
          <w:b w:val="0"/>
          <w:sz w:val="26"/>
        </w:rPr>
        <w:t xml:space="preserve">На цьому сайті містяться переклади деяких текстів написаних класичною китайською мовою. </w:t>
      </w:r>
    </w:p>
    <w:p>
      <w:r>
        <w:rPr>
          <w:rFonts w:ascii="台灣明體" w:hAnsi="台灣明體" w:eastAsia="台灣明體"/>
          <w:b w:val="0"/>
          <w:sz w:val="26"/>
        </w:rPr>
        <w:t>目錄</w:t>
      </w:r>
      <w:r>
        <w:rPr>
          <w:rFonts w:ascii="台灣明體" w:hAnsi="台灣明體" w:eastAsia="台灣明體"/>
          <w:b w:val="0"/>
          <w:sz w:val="26"/>
        </w:rPr>
        <w:t>.</w:t>
      </w:r>
    </w:p>
    <w:sectPr w:rsidR="00FC693F" w:rsidRPr="0006063C" w:rsidSect="00034616">
      <w:pgSz w:w="8640" w:h="12960"/>
      <w:pgMar w:top="864" w:right="864" w:bottom="864" w:left="864" w:header="720" w:footer="720" w:gutter="0"/>
      <w:cols w:space="720"/>
      <w:docGrid w:linePitch="360"/>
      <w:textDirection w:val="tbR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台灣明體" w:hAnsi="台灣明體" w:eastAsia="台灣明體"/>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120" w:after="80"/>
      <w:outlineLvl w:val="0"/>
    </w:pPr>
    <w:rPr>
      <w:rFonts w:asciiTheme="majorHAnsi" w:eastAsiaTheme="majorEastAsia" w:hAnsiTheme="majorHAnsi" w:cstheme="majorBidi" w:ascii="台灣明體" w:hAnsi="台灣明體" w:eastAsia="台灣明體"/>
      <w:b/>
      <w:bCs/>
      <w:color w:val="365F91" w:themeColor="accent1" w:themeShade="BF"/>
      <w:sz w:val="34"/>
      <w:szCs w:val="28"/>
    </w:rPr>
  </w:style>
  <w:style w:type="paragraph" w:styleId="Heading2">
    <w:name w:val="heading 2"/>
    <w:basedOn w:val="Normal"/>
    <w:next w:val="Normal"/>
    <w:link w:val="Heading2Char"/>
    <w:uiPriority w:val="9"/>
    <w:unhideWhenUsed/>
    <w:qFormat/>
    <w:rsid w:val="00FC693F"/>
    <w:pPr>
      <w:keepNext/>
      <w:keepLines/>
      <w:spacing w:before="120" w:after="80"/>
      <w:outlineLvl w:val="1"/>
    </w:pPr>
    <w:rPr>
      <w:rFonts w:asciiTheme="majorHAnsi" w:eastAsiaTheme="majorEastAsia" w:hAnsiTheme="majorHAnsi" w:cstheme="majorBidi" w:ascii="台灣明體" w:hAnsi="台灣明體" w:eastAsia="台灣明體"/>
      <w:b/>
      <w:bCs/>
      <w:color w:val="4F81BD" w:themeColor="accent1"/>
      <w:sz w:val="30"/>
      <w:szCs w:val="26"/>
    </w:rPr>
  </w:style>
  <w:style w:type="paragraph" w:styleId="Heading3">
    <w:name w:val="heading 3"/>
    <w:basedOn w:val="Normal"/>
    <w:next w:val="Normal"/>
    <w:link w:val="Heading3Char"/>
    <w:uiPriority w:val="9"/>
    <w:unhideWhenUsed/>
    <w:qFormat/>
    <w:rsid w:val="00FC693F"/>
    <w:pPr>
      <w:keepNext/>
      <w:keepLines/>
      <w:spacing w:before="120" w:after="80"/>
      <w:outlineLvl w:val="2"/>
    </w:pPr>
    <w:rPr>
      <w:rFonts w:asciiTheme="majorHAnsi" w:eastAsiaTheme="majorEastAsia" w:hAnsiTheme="majorHAnsi" w:cstheme="majorBidi" w:ascii="台灣明體" w:hAnsi="台灣明體" w:eastAsia="台灣明體"/>
      <w:b/>
      <w:bCs/>
      <w:color w:val="4F81BD" w:themeColor="accent1"/>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nt" Target="fonts/&#21488;&#28771;&#26126;&#39636;.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